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Allow Social Districts within the City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Municipal Election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Shall we allow the operation of social districts within the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City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of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_________</w:t>
      </w:r>
      <w:r>
        <w:rPr>
          <w:rFonts w:ascii="Arial" w:hAnsi="Arial"/>
          <w:b w:val="1"/>
          <w:bCs w:val="1"/>
          <w:sz w:val="24"/>
          <w:szCs w:val="24"/>
          <w:rtl w:val="0"/>
          <w:lang w:val="zh-TW" w:eastAsia="zh-TW"/>
        </w:rPr>
        <w:t>?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