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Adopt School District Budget Cap for the _________ School District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School District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Shall we adopt the provisions of RSA 32:5-e, and implement a budget cap whereby the school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board (or budget committee) shall not submit a recommended budget that is higher than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_________ dollars per pupil cost times the average daily membership in residence of the school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district as of October 1 of the year immediately preceding the proposed budget year plus an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annual increase for inflation using _________ published by _________ as of October 1. Requires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 3/5ths majority of the school district.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