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Local Tax Cap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32:5-b, and implement a tax cap whereby the governing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body (or budget committee) shall not submit a recommended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budget that increases the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amount to be raised by local taxes (this year's base), that is higher than the prior fiscal year's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actual amount of local taxes raised (last year's base), adjusted for inflation using the inflation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index CPI-U for the Boston-Cambridge-Newton MA-NH area published by the U.S. Bureau of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Labor Statistics and the change in population, in accordance with RSA 32:5-b, I-b?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